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AC" w:rsidRPr="004433BF" w:rsidRDefault="00A03840">
      <w:pPr>
        <w:rPr>
          <w:rFonts w:ascii="Arial" w:hAnsi="Arial" w:cs="Arial"/>
          <w:b/>
          <w:u w:val="single"/>
        </w:rPr>
      </w:pPr>
      <w:r w:rsidRPr="004433BF">
        <w:rPr>
          <w:rFonts w:ascii="Arial" w:hAnsi="Arial" w:cs="Arial"/>
          <w:b/>
          <w:u w:val="single"/>
        </w:rPr>
        <w:t>WNIOSKI POSEMINARYJNE</w:t>
      </w:r>
    </w:p>
    <w:p w:rsidR="00A03840" w:rsidRPr="00B542FD" w:rsidRDefault="00A03840" w:rsidP="004433BF">
      <w:pPr>
        <w:jc w:val="both"/>
        <w:rPr>
          <w:rFonts w:ascii="Arial" w:hAnsi="Arial" w:cs="Arial"/>
        </w:rPr>
      </w:pPr>
    </w:p>
    <w:p w:rsidR="00A03840" w:rsidRDefault="00B542FD" w:rsidP="004433BF">
      <w:pPr>
        <w:numPr>
          <w:ilvl w:val="0"/>
          <w:numId w:val="1"/>
        </w:numPr>
        <w:tabs>
          <w:tab w:val="clear" w:pos="720"/>
          <w:tab w:val="num" w:pos="-198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Liczebność bobra europejskiego oraz</w:t>
      </w:r>
      <w:r w:rsidR="004433BF">
        <w:rPr>
          <w:rFonts w:ascii="Arial" w:hAnsi="Arial" w:cs="Arial"/>
        </w:rPr>
        <w:t xml:space="preserve"> jego aktualne rozmieszczenie i </w:t>
      </w:r>
      <w:r>
        <w:rPr>
          <w:rFonts w:ascii="Arial" w:hAnsi="Arial" w:cs="Arial"/>
        </w:rPr>
        <w:t>zagęszczenie wskazuje na pilną potrzebę opracowania zrównoważonego krajowego programu zarządzania (gospodarowania) populacją w skali całego kraju. Jest to szczególnie konieczne w rejonach, gdzie wskaźniki te znacznie przekraczają pojemnoś</w:t>
      </w:r>
      <w:r w:rsidR="00CE66C9">
        <w:rPr>
          <w:rFonts w:ascii="Arial" w:hAnsi="Arial" w:cs="Arial"/>
        </w:rPr>
        <w:t>ć ekologiczną dla tego gatunku (</w:t>
      </w:r>
      <w:r>
        <w:rPr>
          <w:rFonts w:ascii="Arial" w:hAnsi="Arial" w:cs="Arial"/>
        </w:rPr>
        <w:t>np. północna Suwalszczyzna, nadleśnictwo Srokowo, nadleśnictwo Czerwony Dwór i inne</w:t>
      </w:r>
      <w:r w:rsidR="00CE66C9">
        <w:rPr>
          <w:rFonts w:ascii="Arial" w:hAnsi="Arial" w:cs="Arial"/>
        </w:rPr>
        <w:t xml:space="preserve">) </w:t>
      </w:r>
      <w:r w:rsidR="00CE66C9">
        <w:rPr>
          <w:rFonts w:ascii="Arial" w:hAnsi="Arial" w:cs="Arial"/>
        </w:rPr>
        <w:br/>
        <w:t xml:space="preserve">i </w:t>
      </w:r>
      <w:r>
        <w:rPr>
          <w:rFonts w:ascii="Arial" w:hAnsi="Arial" w:cs="Arial"/>
        </w:rPr>
        <w:t>mogą być przyczyną lokalnych konfliktów w gospodarce rolnej i leśnej. Projekt krajowego programu gospodarowania populacją bobra europejskiego powinien być poddany konsultacjom społecznym.</w:t>
      </w:r>
    </w:p>
    <w:p w:rsidR="00B542FD" w:rsidRDefault="00B542FD" w:rsidP="004433BF">
      <w:pPr>
        <w:numPr>
          <w:ilvl w:val="0"/>
          <w:numId w:val="1"/>
        </w:numPr>
        <w:tabs>
          <w:tab w:val="clear" w:pos="720"/>
          <w:tab w:val="num" w:pos="-198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Postuluje </w:t>
      </w:r>
      <w:r w:rsidR="004433BF">
        <w:rPr>
          <w:rFonts w:ascii="Arial" w:hAnsi="Arial" w:cs="Arial"/>
        </w:rPr>
        <w:t>się, aby</w:t>
      </w:r>
      <w:r>
        <w:rPr>
          <w:rFonts w:ascii="Arial" w:hAnsi="Arial" w:cs="Arial"/>
        </w:rPr>
        <w:t xml:space="preserve"> krajowy program gospodarowania populacją bobra europejskiego uwzględniał:</w:t>
      </w:r>
    </w:p>
    <w:p w:rsidR="00B542FD" w:rsidRDefault="00E65EB1" w:rsidP="004433B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włą</w:t>
      </w:r>
      <w:r w:rsidR="00B542FD">
        <w:rPr>
          <w:rFonts w:ascii="Arial" w:hAnsi="Arial" w:cs="Arial"/>
        </w:rPr>
        <w:t xml:space="preserve">czenie </w:t>
      </w:r>
      <w:r w:rsidR="004433BF">
        <w:rPr>
          <w:rFonts w:ascii="Arial" w:hAnsi="Arial" w:cs="Arial"/>
        </w:rPr>
        <w:t>bobra, jako</w:t>
      </w:r>
      <w:r w:rsidR="00B542FD">
        <w:rPr>
          <w:rFonts w:ascii="Arial" w:hAnsi="Arial" w:cs="Arial"/>
        </w:rPr>
        <w:t xml:space="preserve"> gatunku objętego </w:t>
      </w:r>
      <w:r w:rsidR="004433BF">
        <w:rPr>
          <w:rFonts w:ascii="Arial" w:hAnsi="Arial" w:cs="Arial"/>
        </w:rPr>
        <w:t xml:space="preserve">dopłatami </w:t>
      </w:r>
      <w:proofErr w:type="spellStart"/>
      <w:r w:rsidR="004433BF">
        <w:rPr>
          <w:rFonts w:ascii="Arial" w:hAnsi="Arial" w:cs="Arial"/>
        </w:rPr>
        <w:t>rolnośrodowiskowymi</w:t>
      </w:r>
      <w:proofErr w:type="spellEnd"/>
      <w:r w:rsidR="004433BF">
        <w:rPr>
          <w:rFonts w:ascii="Arial" w:hAnsi="Arial" w:cs="Arial"/>
        </w:rPr>
        <w:t xml:space="preserve"> w </w:t>
      </w:r>
      <w:r w:rsidR="00B542FD">
        <w:rPr>
          <w:rFonts w:ascii="Arial" w:hAnsi="Arial" w:cs="Arial"/>
        </w:rPr>
        <w:t>ramach pakietów przyrodniczych PROW;</w:t>
      </w:r>
    </w:p>
    <w:p w:rsidR="00B542FD" w:rsidRDefault="00E65EB1" w:rsidP="004433B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utworzenie programów pomocowych w ramach NFOŚ i WFOŚ obejmujących czynną ochronę bobra </w:t>
      </w:r>
      <w:r w:rsidR="004433BF">
        <w:rPr>
          <w:rFonts w:ascii="Arial" w:hAnsi="Arial" w:cs="Arial"/>
        </w:rPr>
        <w:t>pozwalającą</w:t>
      </w:r>
      <w:r>
        <w:rPr>
          <w:rFonts w:ascii="Arial" w:hAnsi="Arial" w:cs="Arial"/>
        </w:rPr>
        <w:t xml:space="preserve"> prowadzić gospodarkę rolna i </w:t>
      </w:r>
      <w:r w:rsidR="004433BF">
        <w:rPr>
          <w:rFonts w:ascii="Arial" w:hAnsi="Arial" w:cs="Arial"/>
        </w:rPr>
        <w:t>leśną</w:t>
      </w:r>
      <w:r>
        <w:rPr>
          <w:rFonts w:ascii="Arial" w:hAnsi="Arial" w:cs="Arial"/>
        </w:rPr>
        <w:t xml:space="preserve"> bez konfliktów lub kompensujących nadmierne szkody gospodarcze;</w:t>
      </w:r>
    </w:p>
    <w:p w:rsidR="00E65EB1" w:rsidRDefault="004433BF" w:rsidP="004433B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wyznaczanie obszarów (rejonów</w:t>
      </w:r>
      <w:r w:rsidR="00E65EB1">
        <w:rPr>
          <w:rFonts w:ascii="Arial" w:hAnsi="Arial" w:cs="Arial"/>
        </w:rPr>
        <w:t>) o bardzo wysokim zagęszczeniu populacji bobr</w:t>
      </w:r>
      <w:r w:rsidR="00CE66C9">
        <w:rPr>
          <w:rFonts w:ascii="Arial" w:hAnsi="Arial" w:cs="Arial"/>
        </w:rPr>
        <w:t>a i stosownie do nich dostosować</w:t>
      </w:r>
      <w:r w:rsidR="00E65EB1">
        <w:rPr>
          <w:rFonts w:ascii="Arial" w:hAnsi="Arial" w:cs="Arial"/>
        </w:rPr>
        <w:t xml:space="preserve"> metody ochrony gatunku i zasady gospodarowania;</w:t>
      </w:r>
    </w:p>
    <w:p w:rsidR="00E65EB1" w:rsidRDefault="00E65EB1" w:rsidP="004433B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relacje i priorytety pomiędzy ochr</w:t>
      </w:r>
      <w:r w:rsidR="00603520">
        <w:rPr>
          <w:rFonts w:ascii="Arial" w:hAnsi="Arial" w:cs="Arial"/>
        </w:rPr>
        <w:t xml:space="preserve">oną stanu zachowania siedlisk a </w:t>
      </w:r>
      <w:r>
        <w:rPr>
          <w:rFonts w:ascii="Arial" w:hAnsi="Arial" w:cs="Arial"/>
        </w:rPr>
        <w:t>potrzebą ochrony bobra europejskiego</w:t>
      </w:r>
      <w:r w:rsidR="00603520">
        <w:rPr>
          <w:rFonts w:ascii="Arial" w:hAnsi="Arial" w:cs="Arial"/>
        </w:rPr>
        <w:t xml:space="preserve"> w obszar</w:t>
      </w:r>
      <w:r w:rsidR="006C56EB">
        <w:rPr>
          <w:rFonts w:ascii="Arial" w:hAnsi="Arial" w:cs="Arial"/>
        </w:rPr>
        <w:t>ach Natura 2000 i siedliskach z </w:t>
      </w:r>
      <w:r w:rsidR="00603520">
        <w:rPr>
          <w:rFonts w:ascii="Arial" w:hAnsi="Arial" w:cs="Arial"/>
        </w:rPr>
        <w:t>załącznika I Dyrektywy Siedliskowej.</w:t>
      </w:r>
    </w:p>
    <w:p w:rsidR="00E65EB1" w:rsidRDefault="00E65EB1" w:rsidP="004433BF">
      <w:pPr>
        <w:numPr>
          <w:ilvl w:val="0"/>
          <w:numId w:val="1"/>
        </w:numPr>
        <w:tabs>
          <w:tab w:val="clear" w:pos="720"/>
          <w:tab w:val="num" w:pos="-198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Wnioskuje </w:t>
      </w:r>
      <w:r w:rsidR="004433BF">
        <w:rPr>
          <w:rFonts w:ascii="Arial" w:hAnsi="Arial" w:cs="Arial"/>
        </w:rPr>
        <w:t>się, aby</w:t>
      </w:r>
      <w:r>
        <w:rPr>
          <w:rFonts w:ascii="Arial" w:hAnsi="Arial" w:cs="Arial"/>
        </w:rPr>
        <w:t xml:space="preserve"> w sytuacjach szczególnych </w:t>
      </w:r>
      <w:r w:rsidR="004433BF">
        <w:rPr>
          <w:rFonts w:ascii="Arial" w:hAnsi="Arial" w:cs="Arial"/>
        </w:rPr>
        <w:t>wdrożone</w:t>
      </w:r>
      <w:r>
        <w:rPr>
          <w:rFonts w:ascii="Arial" w:hAnsi="Arial" w:cs="Arial"/>
        </w:rPr>
        <w:t xml:space="preserve"> zostały uproszczone procedury uzyskiwania decyzji na trwałe obniżenie wód poprzez montaż urządzeń przelewowych i ich </w:t>
      </w:r>
      <w:r w:rsidR="004433BF">
        <w:rPr>
          <w:rFonts w:ascii="Arial" w:hAnsi="Arial" w:cs="Arial"/>
        </w:rPr>
        <w:t>bieżącą</w:t>
      </w:r>
      <w:r>
        <w:rPr>
          <w:rFonts w:ascii="Arial" w:hAnsi="Arial" w:cs="Arial"/>
        </w:rPr>
        <w:t xml:space="preserve"> konserwację.</w:t>
      </w:r>
    </w:p>
    <w:p w:rsidR="00E65EB1" w:rsidRDefault="00E65EB1" w:rsidP="004433BF">
      <w:pPr>
        <w:numPr>
          <w:ilvl w:val="0"/>
          <w:numId w:val="1"/>
        </w:numPr>
        <w:tabs>
          <w:tab w:val="clear" w:pos="720"/>
          <w:tab w:val="num" w:pos="-198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Postuluje </w:t>
      </w:r>
      <w:r w:rsidR="004433BF">
        <w:rPr>
          <w:rFonts w:ascii="Arial" w:hAnsi="Arial" w:cs="Arial"/>
        </w:rPr>
        <w:t>się, aby</w:t>
      </w:r>
      <w:r>
        <w:rPr>
          <w:rFonts w:ascii="Arial" w:hAnsi="Arial" w:cs="Arial"/>
        </w:rPr>
        <w:t xml:space="preserve"> w ramach programów edukacyjnych finansowanych przez </w:t>
      </w:r>
      <w:r w:rsidR="004433BF">
        <w:rPr>
          <w:rFonts w:ascii="Arial" w:hAnsi="Arial" w:cs="Arial"/>
        </w:rPr>
        <w:t>różne</w:t>
      </w:r>
      <w:r>
        <w:rPr>
          <w:rFonts w:ascii="Arial" w:hAnsi="Arial" w:cs="Arial"/>
        </w:rPr>
        <w:t xml:space="preserve"> podmioty opracować </w:t>
      </w:r>
      <w:r w:rsidR="004433BF">
        <w:rPr>
          <w:rFonts w:ascii="Arial" w:hAnsi="Arial" w:cs="Arial"/>
        </w:rPr>
        <w:t>różne</w:t>
      </w:r>
      <w:r>
        <w:rPr>
          <w:rFonts w:ascii="Arial" w:hAnsi="Arial" w:cs="Arial"/>
        </w:rPr>
        <w:t xml:space="preserve"> materiały dydaktyczne (filmy, foldery, ulotki) docierające do jak na</w:t>
      </w:r>
      <w:r w:rsidR="004433BF">
        <w:rPr>
          <w:rFonts w:ascii="Arial" w:hAnsi="Arial" w:cs="Arial"/>
        </w:rPr>
        <w:t>jszerszej grupy odbiorców (młodzież, rolnicy, podmioty gospodarcze) ukazujące rolę bobra europejskiego w funkcjonowaniu ekosystemów i retencji wody oraz metodach prowadzenia zrównoważonej gospodarki.</w:t>
      </w:r>
    </w:p>
    <w:p w:rsidR="004433BF" w:rsidRPr="00B542FD" w:rsidRDefault="004433BF" w:rsidP="004433BF">
      <w:pPr>
        <w:numPr>
          <w:ilvl w:val="0"/>
          <w:numId w:val="1"/>
        </w:numPr>
        <w:tabs>
          <w:tab w:val="clear" w:pos="720"/>
          <w:tab w:val="num" w:pos="-198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Uczestnicy Seminarium w pełni popierają założenia programu przedstawionego przez nadleśnictwo Srokowo pn.: „Przyszłość dobra dla lasów i bobra” oraz wnioskują o jego wdrożenie, jako programu pilotażowego finansowanego przez odpowiednie służby lub instytucje ochrony środowiska.</w:t>
      </w:r>
    </w:p>
    <w:sectPr w:rsidR="004433BF" w:rsidRPr="00B542FD" w:rsidSect="004433BF">
      <w:pgSz w:w="11906" w:h="16838"/>
      <w:pgMar w:top="851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25A9"/>
    <w:multiLevelType w:val="hybridMultilevel"/>
    <w:tmpl w:val="F558C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C66C8F"/>
    <w:multiLevelType w:val="hybridMultilevel"/>
    <w:tmpl w:val="D0FAB96C"/>
    <w:lvl w:ilvl="0" w:tplc="DE9CC7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B80A13"/>
    <w:rsid w:val="000C4EC9"/>
    <w:rsid w:val="004433BF"/>
    <w:rsid w:val="005B1FC5"/>
    <w:rsid w:val="00603520"/>
    <w:rsid w:val="006C0387"/>
    <w:rsid w:val="006C56EB"/>
    <w:rsid w:val="008062AC"/>
    <w:rsid w:val="009D3710"/>
    <w:rsid w:val="00A03840"/>
    <w:rsid w:val="00A91A0A"/>
    <w:rsid w:val="00AB704C"/>
    <w:rsid w:val="00AF065D"/>
    <w:rsid w:val="00B542FD"/>
    <w:rsid w:val="00B80A13"/>
    <w:rsid w:val="00CE66C9"/>
    <w:rsid w:val="00E6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B704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WNIOSKI POSEMINARYJNE</vt:lpstr>
    </vt:vector>
  </TitlesOfParts>
  <Company>UWM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WNIOSKI POSEMINARYJNE</dc:title>
  <dc:subject/>
  <dc:creator>UWM</dc:creator>
  <cp:keywords/>
  <dc:description/>
  <cp:lastModifiedBy>sebastian.pietrzak1</cp:lastModifiedBy>
  <cp:revision>3</cp:revision>
  <cp:lastPrinted>2010-10-25T05:40:00Z</cp:lastPrinted>
  <dcterms:created xsi:type="dcterms:W3CDTF">2010-10-25T05:41:00Z</dcterms:created>
  <dcterms:modified xsi:type="dcterms:W3CDTF">2010-10-25T08:39:00Z</dcterms:modified>
</cp:coreProperties>
</file>